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14" w:rsidRPr="00CB3B2C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E716F2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6F2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B3B2C" w:rsidRDefault="00F45B14" w:rsidP="00F45B14">
      <w:pPr>
        <w:pStyle w:val="aa"/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B3B2C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B3B2C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B3B2C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B3B2C" w:rsidRDefault="00F45B14" w:rsidP="00F45B14">
      <w:pPr>
        <w:pStyle w:val="aa"/>
        <w:spacing w:after="0" w:line="100" w:lineRule="atLeast"/>
      </w:pPr>
    </w:p>
    <w:p w:rsidR="00F45B14" w:rsidRPr="00CB3B2C" w:rsidRDefault="00F45B14" w:rsidP="00F45B14">
      <w:pPr>
        <w:pStyle w:val="aa"/>
        <w:spacing w:after="0" w:line="100" w:lineRule="atLeast"/>
      </w:pPr>
      <w:r w:rsidRPr="00CB3B2C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7912" w:rsidRPr="00CB3B2C" w:rsidTr="00652429">
        <w:tc>
          <w:tcPr>
            <w:tcW w:w="4361" w:type="dxa"/>
            <w:hideMark/>
          </w:tcPr>
          <w:p w:rsidR="00487912" w:rsidRPr="00CB3B2C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7912" w:rsidRPr="00CB3B2C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257B" w:rsidRPr="00CB3B2C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B3B2C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36"/>
          <w:sz w:val="28"/>
          <w:szCs w:val="28"/>
          <w:lang w:val="uk-UA" w:eastAsia="uk-UA"/>
        </w:rPr>
        <w:t>У зв’язку з виробничою необхідністю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B3B2C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B3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B3B2C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B3B2C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B3B2C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E90076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роки"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>
        <w:rPr>
          <w:rFonts w:ascii="Times New Roman" w:hAnsi="Times New Roman"/>
          <w:sz w:val="28"/>
          <w:szCs w:val="28"/>
          <w:lang w:val="uk-UA"/>
        </w:rPr>
        <w:t>м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E90076">
        <w:rPr>
          <w:rFonts w:ascii="Times New Roman" w:hAnsi="Times New Roman"/>
          <w:sz w:val="28"/>
          <w:szCs w:val="28"/>
        </w:rPr>
        <w:t>16</w:t>
      </w:r>
      <w:r w:rsidRPr="00E90076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Паспо</w:t>
      </w:r>
      <w:r w:rsidR="00E716F2">
        <w:rPr>
          <w:rFonts w:ascii="Times New Roman" w:hAnsi="Times New Roman"/>
          <w:sz w:val="28"/>
          <w:szCs w:val="28"/>
          <w:lang w:val="uk-UA"/>
        </w:rPr>
        <w:t>рт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Програми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6684" w:rsidRPr="00CB3B2C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Організацію виконання рішення покласти на міського голову Богдана СТАНІСЛАВСЬКОГО.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відносин.</w:t>
      </w:r>
    </w:p>
    <w:p w:rsidR="00487912" w:rsidRPr="00CB3B2C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B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9DB" w:rsidRDefault="001939DB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195" w:rsidRDefault="00BD0195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Pr="00CB3B2C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Погоджено: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Секретар міської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Андрій КУНИЧАК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фінансів, податків, інвестицій та соціально-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Заступник голови постійної комісії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Мирослав МИХАЙЛЮК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________2022р.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управління фінансів і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внутрішнього аудиту  міської ради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Ольга ГАВДУНИК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„____” ________2022р.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Н</w:t>
      </w:r>
      <w:r w:rsidRPr="00CB3B2C">
        <w:rPr>
          <w:rFonts w:ascii="Times New Roman" w:hAnsi="Times New Roman"/>
          <w:sz w:val="28"/>
          <w:szCs w:val="28"/>
        </w:rPr>
        <w:t xml:space="preserve">ачальник юридичного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відділу міської ради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</w:t>
      </w:r>
      <w:r w:rsidRPr="00CB3B2C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«Секретаріат  ради» міської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Виконавець: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091B87" w:rsidRPr="004002A9" w:rsidRDefault="00091B87" w:rsidP="004002A9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 ___” _________2022р.</w:t>
      </w: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 xml:space="preserve"> ПАСПОРТ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52876175"/>
      <w:r w:rsidRPr="00CB3B2C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0"/>
    <w:p w:rsidR="00652429" w:rsidRPr="00CB3B2C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Розробник Програми: управління комунального господарства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Термін реалізації Програми: з 2021 по 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Етапи фінансування Програми – 2021-2025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 xml:space="preserve">Обсяги  фінансування Програми (тис.грн.): </w:t>
      </w:r>
      <w:r w:rsidR="009907BB" w:rsidRPr="00CB3B2C">
        <w:rPr>
          <w:rStyle w:val="FontStyle32"/>
          <w:color w:val="auto"/>
          <w:sz w:val="23"/>
          <w:szCs w:val="23"/>
        </w:rPr>
        <w:t>3</w:t>
      </w:r>
      <w:r w:rsidR="001B111F" w:rsidRPr="00CB3B2C">
        <w:rPr>
          <w:rStyle w:val="FontStyle32"/>
          <w:color w:val="auto"/>
          <w:sz w:val="23"/>
          <w:szCs w:val="23"/>
        </w:rPr>
        <w:t> </w:t>
      </w:r>
      <w:r w:rsidR="009126D5" w:rsidRPr="00CB3B2C">
        <w:rPr>
          <w:rStyle w:val="FontStyle32"/>
          <w:color w:val="auto"/>
          <w:sz w:val="23"/>
          <w:szCs w:val="23"/>
          <w:lang w:val="ru-RU"/>
        </w:rPr>
        <w:t>400</w:t>
      </w:r>
      <w:r w:rsidR="001B111F" w:rsidRPr="00CB3B2C">
        <w:rPr>
          <w:rStyle w:val="FontStyle32"/>
          <w:color w:val="auto"/>
          <w:sz w:val="23"/>
          <w:szCs w:val="23"/>
        </w:rPr>
        <w:t xml:space="preserve"> 186</w:t>
      </w:r>
      <w:r w:rsidR="009907BB" w:rsidRPr="00CB3B2C">
        <w:rPr>
          <w:rStyle w:val="FontStyle32"/>
          <w:color w:val="auto"/>
          <w:sz w:val="23"/>
          <w:szCs w:val="23"/>
        </w:rPr>
        <w:t>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52429" w:rsidRPr="00CB3B2C" w:rsidTr="002E243E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2E243E" w:rsidRPr="00CB3B2C" w:rsidTr="002E243E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Державний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Обласний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Міський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Інші джерела</w:t>
            </w:r>
          </w:p>
        </w:tc>
      </w:tr>
      <w:tr w:rsidR="00F45B14" w:rsidRPr="00CB3B2C" w:rsidTr="00B038FC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 w:rsidP="00D03E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D03E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</w:t>
            </w: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 xml:space="preserve"> 186,00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425 861,67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 w:rsidP="00D03E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2 4</w:t>
            </w:r>
            <w:r w:rsidR="00D03E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8 555,99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1 025,00</w:t>
            </w:r>
          </w:p>
        </w:tc>
      </w:tr>
      <w:tr w:rsidR="00F45B14" w:rsidRPr="00CB3B2C" w:rsidTr="009907BB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373 637,00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50 965,10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122,74</w:t>
            </w:r>
          </w:p>
        </w:tc>
      </w:tr>
      <w:tr w:rsidR="00F45B14" w:rsidRPr="00CB3B2C" w:rsidTr="009907BB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1 087 475,00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147 658,10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780 242,37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330,95</w:t>
            </w:r>
          </w:p>
        </w:tc>
      </w:tr>
      <w:tr w:rsidR="00F45B14" w:rsidRPr="00CB3B2C" w:rsidTr="009907BB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 w:rsidP="009126D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79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9126D5" w:rsidRPr="00CB3B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 xml:space="preserve"> 490,00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9126D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  <w:r w:rsidR="00F45B14" w:rsidRPr="00CB3B2C">
              <w:rPr>
                <w:rFonts w:ascii="Times New Roman" w:hAnsi="Times New Roman"/>
                <w:b/>
                <w:sz w:val="20"/>
                <w:szCs w:val="20"/>
              </w:rPr>
              <w:t>8 817,71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345,04</w:t>
            </w:r>
          </w:p>
        </w:tc>
      </w:tr>
      <w:tr w:rsidR="00F45B14" w:rsidRPr="00CB3B2C" w:rsidTr="00B038FC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429 284,00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47 168,69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326 329,59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117,02</w:t>
            </w:r>
          </w:p>
        </w:tc>
      </w:tr>
      <w:tr w:rsidR="00F45B14" w:rsidRPr="00CB3B2C" w:rsidTr="009907BB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CB3B2C" w:rsidRDefault="00F45B14" w:rsidP="002E243E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386 300,00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289 538,92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14" w:rsidRPr="00CB3B2C" w:rsidRDefault="00F45B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3B2C">
              <w:rPr>
                <w:rFonts w:ascii="Times New Roman" w:hAnsi="Times New Roman"/>
                <w:b/>
                <w:sz w:val="20"/>
                <w:szCs w:val="20"/>
              </w:rPr>
              <w:t>109,25</w:t>
            </w:r>
          </w:p>
        </w:tc>
      </w:tr>
    </w:tbl>
    <w:p w:rsidR="00652429" w:rsidRPr="00CB3B2C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color w:val="auto"/>
          <w:sz w:val="23"/>
          <w:szCs w:val="23"/>
          <w:lang w:val="uk-UA"/>
        </w:rPr>
      </w:pPr>
      <w:r w:rsidRPr="00CB3B2C">
        <w:rPr>
          <w:rStyle w:val="FontStyle32"/>
          <w:color w:val="auto"/>
          <w:sz w:val="23"/>
          <w:szCs w:val="23"/>
          <w:lang w:val="uk-UA"/>
        </w:rPr>
        <w:t xml:space="preserve">Очікувані результати виконання програми. 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Реалізація програми дозволить забезпечити: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санітарно-епідеміологічного стану;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6"/>
          <w:color w:val="auto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CB3B2C">
        <w:rPr>
          <w:sz w:val="23"/>
          <w:szCs w:val="23"/>
        </w:rPr>
        <w:t xml:space="preserve">Управління комунального господарства 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</w:t>
      </w:r>
      <w:r w:rsidRPr="00CB3B2C">
        <w:rPr>
          <w:b/>
          <w:sz w:val="23"/>
          <w:szCs w:val="23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Роман ГУШУЛЕЙ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Керівник програми</w:t>
      </w:r>
    </w:p>
    <w:p w:rsidR="00652429" w:rsidRPr="005E19FB" w:rsidRDefault="00652429" w:rsidP="005E19FB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sz w:val="23"/>
          <w:szCs w:val="23"/>
        </w:rPr>
        <w:t>Міський голова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            </w:t>
      </w:r>
      <w:r w:rsidRPr="00CB3B2C">
        <w:rPr>
          <w:b/>
          <w:sz w:val="23"/>
          <w:szCs w:val="23"/>
        </w:rPr>
        <w:t>Богдан СТАНІСЛАВСЬКИЙ</w:t>
      </w:r>
    </w:p>
    <w:p w:rsidR="00652429" w:rsidRPr="00CB3B2C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B3B2C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B3B2C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85"/>
        <w:gridCol w:w="710"/>
        <w:gridCol w:w="567"/>
        <w:gridCol w:w="567"/>
        <w:gridCol w:w="567"/>
        <w:gridCol w:w="568"/>
        <w:gridCol w:w="541"/>
        <w:gridCol w:w="1417"/>
        <w:gridCol w:w="734"/>
        <w:gridCol w:w="993"/>
        <w:gridCol w:w="851"/>
        <w:gridCol w:w="852"/>
        <w:gridCol w:w="819"/>
        <w:gridCol w:w="851"/>
        <w:gridCol w:w="709"/>
        <w:gridCol w:w="850"/>
        <w:gridCol w:w="851"/>
      </w:tblGrid>
      <w:tr w:rsidR="00652429" w:rsidRPr="00CB3B2C" w:rsidTr="006173F0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Прогнозований обсяг фінансових ресурсів для виконання завдань,</w:t>
            </w:r>
          </w:p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B3B2C" w:rsidTr="006173F0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B3B2C" w:rsidTr="006173F0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B3B2C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зелених насаджень вздовж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скверів, парків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та паспортизація мереж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паспортизації мереж вуличного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Схема маршрутного орієнтування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технічної документації – схема маршрутного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Схема організації дорожнього руху в м.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Розроблення проектної документації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проектно-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Прийняття в експлуатацію закінчених будівництвом об’єктів (од)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Подання заяв, скарг до суду, виконання рішень суду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Інші видатки (судові витрати)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Технічне обстеження мостів (шт.)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Вулиці( 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CB3B2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320</w:t>
            </w:r>
            <w:r w:rsidR="00DE3637"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CB3B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color w:val="C00000"/>
                <w:sz w:val="16"/>
                <w:szCs w:val="16"/>
                <w:lang w:val="uk-UA"/>
              </w:rPr>
              <w:t>10</w:t>
            </w:r>
            <w:r w:rsidR="00DE3637" w:rsidRPr="00CB3B2C">
              <w:rPr>
                <w:rFonts w:ascii="Times New Roman" w:hAnsi="Times New Roman"/>
                <w:color w:val="C00000"/>
                <w:sz w:val="16"/>
                <w:szCs w:val="16"/>
              </w:rPr>
              <w:t>000</w:t>
            </w:r>
            <w:r w:rsidR="00DE3637" w:rsidRPr="00CB3B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Інженерні споруди (мости)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і утримання автодорожніх і пішохідних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Тротуари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Пониження бортового каменю в місцях переходу з тротуарів на проїжджу 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в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Узбіччя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узбіч вулиць (пониження чи підвищення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Вулиці (км, к-ть решіток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45, 1025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Дощезбірники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кришок на дощезбірники та люків на мережі дощової каналізації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Водовідвідні канави( 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мешканці приватного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власні кошти мешканців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12092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F45B14" w:rsidRPr="00CB3B2C" w:rsidTr="00B038FC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Внутрішньоквартальні проїзди (тис.кв. 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міжквартальних проїздів в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 w:rsidP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592730" w:rsidRDefault="00F45B1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161385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Місця паркування і стоянки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місць для паркування та стоянок для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Камери відеоспостереження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Засоби регулювання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Світлофори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світлофорів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пішохідних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на світлофорах засобів мовного супроводу пішохідної фази (Грушевського- автостанція, Мазепи-Л. Українки, Мазепи - Богуна)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Огородження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Дорожні знаки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Дорожня розмітка (м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  <w:r w:rsidR="00C1499D"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Нанесення дорожньої розмітки вертикальної, повздовжньої та пішохідних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Обмежувачі для руху автотранспорту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засобів обмеження руху автотранспорту (стовпчики, рампи, шлагбауми, «лежачі поліцейські»)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Туристичні інформаційні вказівники, стенди, таблички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вказівників назв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Прибирання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Прибирання проїжджої частини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Очистка русел та берегів міських річок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Очистка від сміття, гілок ,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Вивезення побутових відходів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Навантаження та вивезення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Захоронення побутових відходів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Ліквідація стихійних сміттєзвалищ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Збирання вивезення та захоронення стихійних сміттєзвалищ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КП «Полігон Екологія»,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комплексу по переробці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комплексу по переробці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інвестиції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Об’єкт переробки біорозкладальних відходів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площадки переробки  біорозкладальних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Контейнерні майданчики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та влаштування контейнерних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Сортування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Створення сортувальних пунктів чи станцій для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обласний фонд ОНПС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Будівництво, реконструкція, ремонт і утримання мережі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Міський, обласний, державний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Засоби обліку електричної енергії (електролічильник)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Електроенергія (млн..кВт)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Оплата за електроенергію використану для вуличного освітлення та світлофорів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КП"Зеленосвіт",Коломийський МРЕМ ПАТ «Прикарпаттяобленерго»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Святкова ілюмінація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Парки (32,27 га), сквери (11,989га)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Реконструкція, капітальний ремонт та утримання парків, скверів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39000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Нові парки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Дерева кущі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Садіння дерев, кущів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Дерева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Газони (тис.м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Квітники (тис. м</w:t>
            </w:r>
            <w:r w:rsidRPr="00592730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Живопліт (тис.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Боротьба з бур’янами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Декоративні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Формувальне обрізання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DE3637" w:rsidRPr="00CB3B2C" w:rsidTr="00C6648C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Інші роботи по озелененню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Викорчовування пнів, згрібання 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Озера(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озера в парку ім..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2A1BD1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Пляжі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Обладнати пляжів на озері по вул. Чехова, в парку ім..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бюджет, обласне УНС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Ріки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Кріплення берега з/б плитами і регулювання р. Чорний потік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 р. Чорний потік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Берегоукріплення правого берега р. Прут: в районі водозабірних споруд  в с. Княждвір; в р – ні інфільтраційних басейнів №1,2, 3,4; в місці переходу ЛЕП 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Захист від підтоплення житлових мікрорайонів  міста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Міський, обласний, державний бюджет,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об’єктів природно-заповідного фонду (4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проектно-технічної документації на землю на по  т.. Франка – («Дуб Івана Франка»), в  парку ім. Т. Шевченка – («Горіх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Огородження об’єктів природно-заповідного фонду – парк ім.. 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Кладовища ТГ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26500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r w:rsidR="00C6648C"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8764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і ремонт рекреаційних об’єктів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Догляд за озерами, парками, скверами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Санітарна очистка, озеленення, 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Дитячі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Спортивні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Комунальні вбиральні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Полігон твердих побутових відходів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Рекультивація сміттєзвалища по вул.  Шарлая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Притулок для собак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DE3637" w:rsidRPr="00CB3B2C" w:rsidTr="00C6648C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Відлов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Ветеринарні послуги для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Пл. Скорботи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 пл.. 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Пл.. Відродження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конструкцій на  пл. .Відродження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lang w:val="uk-UA"/>
              </w:rPr>
              <w:br w:type="page"/>
            </w: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Пл.. Шевченка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пл.. 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Пл.. 750-річчя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5B14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Пл. перед музеєм  Писанкового розпису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пл. перед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14" w:rsidRPr="00592730" w:rsidRDefault="00F45B1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592730" w:rsidRDefault="00F45B1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D501F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  <w:r w:rsidRPr="00CD50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B3B2C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D501F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  <w:r w:rsidRPr="00CD50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14" w:rsidRPr="00CD501F" w:rsidRDefault="00F4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  <w:r w:rsidRPr="00CD50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Павільйони автобусних зупинок (шт)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E3637" w:rsidRPr="00CB3B2C" w:rsidTr="00B038FC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Малі архітектурні форми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Ремонт, заміна, встановлення малих архітектурних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730">
              <w:rPr>
                <w:rFonts w:ascii="Times New Roman" w:hAnsi="Times New Roman"/>
                <w:sz w:val="20"/>
                <w:szCs w:val="20"/>
                <w:lang w:val="uk-UA"/>
              </w:rPr>
              <w:t>3200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2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DE3637" w:rsidRPr="00CB3B2C" w:rsidTr="00B038FC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і ремонт лавок для сидіння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та ремонт лавок на площах, в парках ,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Урни для сміття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урн для сміття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урни для сміття вздовж вулиць, в парках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630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Ремонт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DE3637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Декоративне огородження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декоративного огородження в центральній частинці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DE3637" w:rsidRPr="00CB3B2C" w:rsidTr="002A1BD1">
        <w:trPr>
          <w:trHeight w:val="128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Фонтан на пл.. 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 , КП «Коломия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DE3637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Спеціалізована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Придбання спецтехніки та обладнання для  утримання об’єктів благоустрою (од..)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Придбання сміттєвозів, з ручним </w:t>
            </w:r>
          </w:p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завантаженням, тротуарних підмітальних машин, намулососів, гідромашин, 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КП «Коломийська ритуальна служба» КП «Зеленосвіт», КП Коломия «Паркосервіс», КП «Центральний ринок»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</w:t>
            </w:r>
          </w:p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ритуальна служба» КП «Зеленосвіт», КП Коломия «Паркосервіс», КП «Центральний рино</w:t>
            </w:r>
            <w:bookmarkStart w:id="1" w:name="_GoBack"/>
            <w:bookmarkEnd w:id="1"/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обласни</w:t>
            </w:r>
          </w:p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й, державний бюджети, державний, обласний, фонди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DE3637" w:rsidRPr="00CB3B2C" w:rsidTr="00C6648C">
        <w:trPr>
          <w:trHeight w:val="42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 w:rsidP="00421C53">
            <w:pPr>
              <w:pStyle w:val="a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 w:rsidP="00421C53">
            <w:pPr>
              <w:pStyle w:val="a9"/>
              <w:rPr>
                <w:rFonts w:ascii="Times New Roman" w:hAnsi="Times New Roman"/>
              </w:rPr>
            </w:pPr>
          </w:p>
        </w:tc>
      </w:tr>
      <w:tr w:rsidR="00DE3637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7" w:rsidRPr="00592730" w:rsidRDefault="00DE36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державний бюджет,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592730" w:rsidRDefault="00DE36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2730">
              <w:rPr>
                <w:rFonts w:ascii="Times New Roman" w:hAnsi="Times New Roman"/>
                <w:sz w:val="16"/>
                <w:szCs w:val="16"/>
                <w:lang w:val="uk-UA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B03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Pr="00CB3B2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B038F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37" w:rsidRPr="00CB3B2C" w:rsidRDefault="00DE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2C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B3B2C">
        <w:rPr>
          <w:sz w:val="28"/>
          <w:szCs w:val="28"/>
        </w:rPr>
        <w:t xml:space="preserve">Управління комунального господарства </w:t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  <w:t xml:space="preserve">  </w:t>
      </w:r>
      <w:r w:rsidRPr="00CB3B2C">
        <w:rPr>
          <w:b/>
          <w:sz w:val="28"/>
          <w:szCs w:val="28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B3B2C">
        <w:rPr>
          <w:b/>
          <w:sz w:val="28"/>
          <w:szCs w:val="28"/>
        </w:rPr>
        <w:t>Керівник програми</w:t>
      </w:r>
    </w:p>
    <w:p w:rsidR="00CF2314" w:rsidRPr="00CB3B2C" w:rsidRDefault="00652429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2C">
        <w:rPr>
          <w:rFonts w:ascii="Times New Roman" w:hAnsi="Times New Roman" w:cs="Times New Roman"/>
          <w:sz w:val="28"/>
          <w:szCs w:val="28"/>
        </w:rPr>
        <w:t>Міський голова</w:t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CB3B2C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CF2314" w:rsidRPr="00CB3B2C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 w15:restartNumberingAfterBreak="0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 w15:restartNumberingAfterBreak="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652"/>
    <w:rsid w:val="0002239E"/>
    <w:rsid w:val="00030DA1"/>
    <w:rsid w:val="000578C9"/>
    <w:rsid w:val="00057D05"/>
    <w:rsid w:val="000843F5"/>
    <w:rsid w:val="00091B87"/>
    <w:rsid w:val="000B0DC0"/>
    <w:rsid w:val="000B42C8"/>
    <w:rsid w:val="000F140E"/>
    <w:rsid w:val="00111511"/>
    <w:rsid w:val="00126BC4"/>
    <w:rsid w:val="00145830"/>
    <w:rsid w:val="00157AFA"/>
    <w:rsid w:val="001734BE"/>
    <w:rsid w:val="001939DB"/>
    <w:rsid w:val="001A2F58"/>
    <w:rsid w:val="001B111F"/>
    <w:rsid w:val="002273DE"/>
    <w:rsid w:val="002374D1"/>
    <w:rsid w:val="00257DA1"/>
    <w:rsid w:val="00272B6D"/>
    <w:rsid w:val="002958FE"/>
    <w:rsid w:val="002A1BD1"/>
    <w:rsid w:val="002D7DEC"/>
    <w:rsid w:val="002E243E"/>
    <w:rsid w:val="002E4C61"/>
    <w:rsid w:val="00317288"/>
    <w:rsid w:val="0032038F"/>
    <w:rsid w:val="00357648"/>
    <w:rsid w:val="00373B19"/>
    <w:rsid w:val="003E69E4"/>
    <w:rsid w:val="003F391A"/>
    <w:rsid w:val="004002A9"/>
    <w:rsid w:val="00421C53"/>
    <w:rsid w:val="00427527"/>
    <w:rsid w:val="00487912"/>
    <w:rsid w:val="004B257B"/>
    <w:rsid w:val="005112B3"/>
    <w:rsid w:val="00592730"/>
    <w:rsid w:val="005E19FB"/>
    <w:rsid w:val="006173F0"/>
    <w:rsid w:val="00632D72"/>
    <w:rsid w:val="00652429"/>
    <w:rsid w:val="00694C2D"/>
    <w:rsid w:val="0075066F"/>
    <w:rsid w:val="00756F5D"/>
    <w:rsid w:val="00773332"/>
    <w:rsid w:val="0078317E"/>
    <w:rsid w:val="007B245B"/>
    <w:rsid w:val="007B25A7"/>
    <w:rsid w:val="007E34BA"/>
    <w:rsid w:val="0083719E"/>
    <w:rsid w:val="008421B1"/>
    <w:rsid w:val="00845BEA"/>
    <w:rsid w:val="00854B0F"/>
    <w:rsid w:val="008601C9"/>
    <w:rsid w:val="00876E67"/>
    <w:rsid w:val="008C087A"/>
    <w:rsid w:val="008D1F60"/>
    <w:rsid w:val="008D7009"/>
    <w:rsid w:val="008E7012"/>
    <w:rsid w:val="009112F3"/>
    <w:rsid w:val="009126D5"/>
    <w:rsid w:val="00931F12"/>
    <w:rsid w:val="00957964"/>
    <w:rsid w:val="009907BB"/>
    <w:rsid w:val="00A27652"/>
    <w:rsid w:val="00A87D98"/>
    <w:rsid w:val="00A87F67"/>
    <w:rsid w:val="00AB3CED"/>
    <w:rsid w:val="00AC5589"/>
    <w:rsid w:val="00AD7999"/>
    <w:rsid w:val="00AE0501"/>
    <w:rsid w:val="00B038FC"/>
    <w:rsid w:val="00B331EA"/>
    <w:rsid w:val="00B96BC6"/>
    <w:rsid w:val="00BD0195"/>
    <w:rsid w:val="00BD0EC8"/>
    <w:rsid w:val="00BF55C2"/>
    <w:rsid w:val="00C1499D"/>
    <w:rsid w:val="00C20434"/>
    <w:rsid w:val="00C60CDE"/>
    <w:rsid w:val="00C6648C"/>
    <w:rsid w:val="00CB3B2C"/>
    <w:rsid w:val="00CD501F"/>
    <w:rsid w:val="00CE32F2"/>
    <w:rsid w:val="00CF2314"/>
    <w:rsid w:val="00D03E12"/>
    <w:rsid w:val="00DA7FD9"/>
    <w:rsid w:val="00DC05C3"/>
    <w:rsid w:val="00DE3637"/>
    <w:rsid w:val="00E00CDA"/>
    <w:rsid w:val="00E31ECC"/>
    <w:rsid w:val="00E41FCD"/>
    <w:rsid w:val="00E4342E"/>
    <w:rsid w:val="00E5751B"/>
    <w:rsid w:val="00E716F2"/>
    <w:rsid w:val="00E72FB2"/>
    <w:rsid w:val="00E86684"/>
    <w:rsid w:val="00E90076"/>
    <w:rsid w:val="00EA2E2D"/>
    <w:rsid w:val="00F45B14"/>
    <w:rsid w:val="00F50713"/>
    <w:rsid w:val="00F84AAF"/>
    <w:rsid w:val="00FA7FD9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AC9"/>
  <w15:docId w15:val="{7A5DF3AE-31D4-4A16-9B11-B083711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Заголовок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A8CD-4B41-4D59-A70B-D2DDDCC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24</Pages>
  <Words>18885</Words>
  <Characters>10765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Бойко Вікторія Сергіївна2</cp:lastModifiedBy>
  <cp:revision>65</cp:revision>
  <cp:lastPrinted>2022-11-28T14:02:00Z</cp:lastPrinted>
  <dcterms:created xsi:type="dcterms:W3CDTF">2022-06-16T13:49:00Z</dcterms:created>
  <dcterms:modified xsi:type="dcterms:W3CDTF">2022-11-29T09:28:00Z</dcterms:modified>
</cp:coreProperties>
</file>